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39"/>
        <w:gridCol w:w="5339"/>
        <w:gridCol w:w="5339"/>
      </w:tblGrid>
      <w:tr>
        <w:trPr>
          <w:trHeight w:hRule="atLeast" w:val="360"/>
        </w:trPr>
        <w:tc>
          <w:tcPr>
            <w:tcW w:type="dxa" w:w="5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00000">
            <w:pPr>
              <w:pStyle w:val="Style_2"/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Аварийно-спасательные службы и аварийно-спасательные формирования привлекаются для решения задач в области гражданской обороны в соответствии с законодательством РФ.</w:t>
            </w:r>
          </w:p>
          <w:p w14:paraId="02000000">
            <w:pPr>
              <w:ind/>
              <w:jc w:val="center"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color w:val="FF0000"/>
                <w:sz w:val="24"/>
              </w:rPr>
              <w:t>Приоритетные направления государственной политики в области гражданской обороны:</w:t>
            </w:r>
          </w:p>
          <w:p w14:paraId="03000000">
            <w:pPr>
              <w:pStyle w:val="Style_2"/>
              <w:numPr>
                <w:ilvl w:val="0"/>
                <w:numId w:val="1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Совершенствование нормативно- правовой, нормативно-технической и методической базы в области гражданской обороны с учетом изменений, вносимых в законодательные акты РФ, и внедрения в РФ системы стратегического планирования.</w:t>
            </w:r>
          </w:p>
          <w:p w14:paraId="04000000">
            <w:pPr>
              <w:pStyle w:val="Style_2"/>
              <w:numPr>
                <w:ilvl w:val="0"/>
                <w:numId w:val="1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Совершенствования системы управления гражданской обороной, систем оповещения и информирования населения об опасностях, возникающих при военных конфликтах и чрезвычайных ситуациях.</w:t>
            </w:r>
          </w:p>
          <w:p w14:paraId="05000000">
            <w:pPr>
              <w:pStyle w:val="Style_2"/>
              <w:numPr>
                <w:ilvl w:val="0"/>
                <w:numId w:val="1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Совершенствования системы управления гражданской обороной, систем оповещения и информирования населения об опасностях, возникающих при военных конфликтах и ЧС.</w:t>
            </w:r>
          </w:p>
          <w:p w14:paraId="06000000">
            <w:pPr>
              <w:pStyle w:val="Style_2"/>
              <w:numPr>
                <w:ilvl w:val="0"/>
                <w:numId w:val="1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сил гражданской обороны путем совершенствования их организации и подготовки к использованию по предназначению, а также путем повышения уровня их оснащенности современной специальной техникой.</w:t>
            </w:r>
          </w:p>
          <w:p w14:paraId="07000000">
            <w:pPr>
              <w:pStyle w:val="Style_2"/>
              <w:numPr>
                <w:ilvl w:val="0"/>
                <w:numId w:val="1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качества подготовки населения в области гражданской обороны.</w:t>
            </w:r>
          </w:p>
          <w:p w14:paraId="08000000">
            <w:pPr>
              <w:pStyle w:val="Style_2"/>
              <w:numPr>
                <w:ilvl w:val="0"/>
                <w:numId w:val="1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международного сотрудничества в области гражданской обороны.</w:t>
            </w:r>
          </w:p>
          <w:p w14:paraId="09000000">
            <w:pPr>
              <w:pStyle w:val="Style_2"/>
              <w:ind w:firstLine="0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00000">
            <w:pPr>
              <w:ind/>
              <w:jc w:val="center"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color w:val="FF0000"/>
                <w:sz w:val="24"/>
              </w:rPr>
              <w:t>Стратегия в области развития ГО и защиты населения и территорий от ЧС, обеспечения пожарной безопасности и безопасности людей на водных объектах:</w:t>
            </w:r>
          </w:p>
          <w:p w14:paraId="0B000000">
            <w:pPr>
              <w:pStyle w:val="Style_2"/>
              <w:numPr>
                <w:ilvl w:val="0"/>
                <w:numId w:val="2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системы государственного управления и стратегического планирования в области ГО, защиты населения и территорий от ЧС, обеспечения пожарной безопасности и безопасности людей на водных объектах с учетом политической и социально-экономической ситуации в РФ и в мире.</w:t>
            </w:r>
          </w:p>
          <w:p w14:paraId="0C000000">
            <w:pPr>
              <w:pStyle w:val="Style_2"/>
              <w:numPr>
                <w:ilvl w:val="0"/>
                <w:numId w:val="2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Внедрение новых технологий, обеспечения безопасности и жизнедеятельности населения.</w:t>
            </w:r>
          </w:p>
          <w:p w14:paraId="0D000000">
            <w:pPr>
              <w:pStyle w:val="Style_2"/>
              <w:numPr>
                <w:ilvl w:val="0"/>
                <w:numId w:val="2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системы обеспечения пожарной безопасности в целях профилактики пожаров, их тушения и проведения аварийно-спасательных работ.</w:t>
            </w:r>
          </w:p>
          <w:p w14:paraId="0E000000">
            <w:pPr>
              <w:pStyle w:val="Style_2"/>
              <w:numPr>
                <w:ilvl w:val="0"/>
                <w:numId w:val="2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Поддержка и стимулирование фундаментальных и прикладных научных исследований в области ГО, защиты населения и территорий от ЧС, обеспечения пожарной безопасности и безопасности людей на водных объектах, развитие спасательных технологий и спасательной техники.</w:t>
            </w:r>
          </w:p>
          <w:p w14:paraId="0F000000">
            <w:pPr>
              <w:pStyle w:val="Style_2"/>
              <w:numPr>
                <w:ilvl w:val="0"/>
                <w:numId w:val="2"/>
              </w:numPr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международного сотрудничества в области ГО, защиты населения и территорий от ЧС, обеспечения пожарной безопасности и безопасности на водных объектах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5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0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Бюджетное учреждение Омской области </w:t>
            </w:r>
            <w:r>
              <w:rPr>
                <w:rFonts w:ascii="Calibri" w:hAnsi="Calibri"/>
                <w:b w:val="1"/>
                <w:sz w:val="24"/>
              </w:rPr>
              <w:t>"</w:t>
            </w:r>
            <w:r>
              <w:rPr>
                <w:rFonts w:ascii="Times New Roman" w:hAnsi="Times New Roman"/>
                <w:b w:val="1"/>
                <w:sz w:val="24"/>
              </w:rPr>
              <w:t>Комплексный центр социального обслуживания населения</w:t>
            </w:r>
          </w:p>
          <w:p w14:paraId="1100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Русско-Полянского района</w:t>
            </w:r>
            <w:r>
              <w:rPr>
                <w:rFonts w:ascii="Calibri" w:hAnsi="Calibri"/>
                <w:b w:val="1"/>
                <w:sz w:val="24"/>
              </w:rPr>
              <w:t>"</w:t>
            </w:r>
          </w:p>
          <w:p w14:paraId="12000000"/>
          <w:p w14:paraId="1300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color w:val="002060"/>
                <w:sz w:val="52"/>
              </w:rPr>
              <w:t>Гражданская оборона и её задачи</w:t>
            </w:r>
          </w:p>
          <w:p w14:paraId="14000000">
            <w:pPr>
              <w:ind/>
              <w:jc w:val="center"/>
            </w:pPr>
          </w:p>
          <w:p w14:paraId="15000000">
            <w:pPr>
              <w:ind/>
              <w:jc w:val="center"/>
            </w:pPr>
            <w:r>
              <w:drawing>
                <wp:inline>
                  <wp:extent cx="3169315" cy="3391534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169315" cy="339153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6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Специалист по охране труда 2022 год</w:t>
            </w:r>
          </w:p>
          <w:p w14:paraId="17000000">
            <w:pPr>
              <w:ind/>
              <w:jc w:val="center"/>
            </w:pPr>
          </w:p>
          <w:p w14:paraId="18000000">
            <w:pPr>
              <w:ind/>
              <w:jc w:val="center"/>
            </w:pPr>
          </w:p>
        </w:tc>
      </w:tr>
    </w:tbl>
    <w:p w14:paraId="19000000">
      <w:pPr>
        <w:ind/>
        <w:jc w:val="center"/>
        <w:rPr>
          <w:rFonts w:ascii="Times New Roman" w:hAnsi="Times New Roman"/>
          <w:b w:val="1"/>
          <w:color w:val="FF0000"/>
          <w:sz w:val="24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39"/>
        <w:gridCol w:w="5339"/>
        <w:gridCol w:w="5339"/>
      </w:tblGrid>
      <w:tr>
        <w:trPr>
          <w:trHeight w:hRule="atLeast" w:val="360"/>
        </w:trPr>
        <w:tc>
          <w:tcPr>
            <w:tcW w:type="dxa" w:w="5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FF0000"/>
                <w:sz w:val="24"/>
              </w:rPr>
              <w:t>Гражданская оборона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– это </w:t>
            </w:r>
            <w:r>
              <w:rPr>
                <w:rFonts w:ascii="Times New Roman" w:hAnsi="Times New Roman"/>
                <w:sz w:val="24"/>
              </w:rPr>
              <w:t xml:space="preserve">система мероприятий по подготовке к защите и по защите населения, материальных и культурных ценностей на территории РФ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 </w:t>
            </w:r>
          </w:p>
          <w:p w14:paraId="1B00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государства к ведению гражданской обороны осуществляется в заблаговременном выполнении мероприятий, а ведение гражданской обороны -  в выполнении мероприятий по защите населения</w:t>
            </w:r>
            <w:r>
              <w:rPr>
                <w:rFonts w:ascii="Times New Roman" w:hAnsi="Times New Roman"/>
                <w:sz w:val="24"/>
              </w:rPr>
              <w:t>, материальных и культурных ценностей на территории РФ от опасностей, возникающих при военных конфликтах или вследствие этих конфликтов, а также при ЧС природного и техногенного характера.</w:t>
            </w:r>
          </w:p>
          <w:p w14:paraId="1C000000">
            <w:pPr>
              <w:ind/>
              <w:jc w:val="both"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color w:val="FF0000"/>
                <w:sz w:val="24"/>
              </w:rPr>
              <w:t>Задачи</w:t>
            </w:r>
            <w:r>
              <w:rPr>
                <w:rFonts w:ascii="Times New Roman" w:hAnsi="Times New Roman"/>
                <w:b w:val="1"/>
                <w:color w:val="FF0000"/>
                <w:sz w:val="24"/>
              </w:rPr>
              <w:t xml:space="preserve"> в области</w:t>
            </w:r>
            <w:r>
              <w:rPr>
                <w:rFonts w:ascii="Times New Roman" w:hAnsi="Times New Roman"/>
                <w:b w:val="1"/>
                <w:color w:val="FF0000"/>
                <w:sz w:val="24"/>
              </w:rPr>
              <w:t xml:space="preserve"> гражданской обороны:</w:t>
            </w:r>
          </w:p>
          <w:p w14:paraId="1D000000">
            <w:pPr>
              <w:pStyle w:val="Style_2"/>
              <w:numPr>
                <w:ilvl w:val="0"/>
                <w:numId w:val="3"/>
              </w:numPr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населения в области гражданской обороны.</w:t>
            </w:r>
          </w:p>
          <w:p w14:paraId="1E000000">
            <w:pPr>
              <w:pStyle w:val="Style_2"/>
              <w:numPr>
                <w:ilvl w:val="0"/>
                <w:numId w:val="3"/>
              </w:numPr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Оповещения населения об опасностях, возникающих при военных конфликтах или вследствие этих конфликтов, а также при ЧС природного и техногенного характера.</w:t>
            </w:r>
          </w:p>
          <w:p w14:paraId="1F000000">
            <w:pPr>
              <w:pStyle w:val="Style_2"/>
              <w:numPr>
                <w:ilvl w:val="0"/>
                <w:numId w:val="3"/>
              </w:numPr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Эвакуация населения, материальных и культурных ценностей в безопасные районы.</w:t>
            </w:r>
          </w:p>
          <w:p w14:paraId="20000000">
            <w:pPr>
              <w:pStyle w:val="Style_2"/>
              <w:numPr>
                <w:ilvl w:val="0"/>
                <w:numId w:val="3"/>
              </w:numPr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Предоставления населению средств индивидуальной защиты и коллективной защиты.</w:t>
            </w:r>
          </w:p>
          <w:p w14:paraId="21000000">
            <w:pPr>
              <w:pStyle w:val="Style_2"/>
              <w:numPr>
                <w:ilvl w:val="0"/>
                <w:numId w:val="3"/>
              </w:numPr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мероприятий по световой маскировке и другим видам маскировки.</w:t>
            </w:r>
          </w:p>
        </w:tc>
        <w:tc>
          <w:tcPr>
            <w:tcW w:type="dxa" w:w="5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аварийно-спасательных и других неотложных работ в случае </w:t>
            </w:r>
            <w:r>
              <w:rPr>
                <w:rFonts w:ascii="Times New Roman" w:hAnsi="Times New Roman"/>
                <w:sz w:val="24"/>
              </w:rPr>
              <w:t>возникновения опасностей для населения при военных конфликтах или вследствие этих конфликтов, а также при ЧС природного и техногенного характера.</w:t>
            </w:r>
          </w:p>
          <w:p w14:paraId="23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Первоочередное жизнеобеспечение населения, пострадавшего при военных конфликтах или вследствие этих конфликтов, а также при ЧС природного и техногенного характера.</w:t>
            </w:r>
          </w:p>
          <w:p w14:paraId="24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Борьба с пожарами, возникшими при военных конфликтах или вследствие этих конфликтов.</w:t>
            </w:r>
          </w:p>
          <w:p w14:paraId="25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Обнаружение и обозначение районов, подвергшихся радиоактивному, химическому, биологическому или иному заражению.</w:t>
            </w:r>
          </w:p>
          <w:p w14:paraId="26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Санитарная обработка населения, обеззараживание зданий и сооружений, специальная обработка техники и территорий.</w:t>
            </w:r>
          </w:p>
          <w:p w14:paraId="27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Восстановление и поддержание порядка в районах, пострадавших при военных конфликтах или вследствие этих конфликтов, а также при ЧС природного и техногенного характера.</w:t>
            </w:r>
          </w:p>
          <w:p w14:paraId="28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Срочное восстановление функционирования необходимых коммунальных служб в военное время.</w:t>
            </w:r>
          </w:p>
          <w:p w14:paraId="29000000">
            <w:pPr>
              <w:pStyle w:val="Style_2"/>
              <w:numPr>
                <w:ilvl w:val="0"/>
                <w:numId w:val="3"/>
              </w:numPr>
              <w:ind w:firstLine="425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Срочное захоронение трупов в военное время.</w:t>
            </w:r>
          </w:p>
          <w:p w14:paraId="2A000000">
            <w:pPr>
              <w:pStyle w:val="Style_2"/>
              <w:ind w:firstLine="425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pStyle w:val="Style_2"/>
              <w:numPr>
                <w:ilvl w:val="0"/>
                <w:numId w:val="3"/>
              </w:numPr>
              <w:ind w:firstLine="633" w:left="-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устойчивости функционирования организаций, необходимых для выживания населения при военных конфликтах или вследствие этих конфликтов, а также при ЧС природного и техногенного характера.</w:t>
            </w:r>
          </w:p>
          <w:p w14:paraId="2C000000">
            <w:pPr>
              <w:numPr>
                <w:ilvl w:val="0"/>
                <w:numId w:val="3"/>
              </w:numPr>
              <w:ind w:firstLine="633" w:left="-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постоянной готовности сил и средств гражданской обороны.</w:t>
            </w:r>
          </w:p>
          <w:p w14:paraId="2D000000">
            <w:pPr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color w:val="FF0000"/>
                <w:sz w:val="24"/>
              </w:rPr>
              <w:t>Силы гражданской обороны:</w:t>
            </w:r>
          </w:p>
          <w:p w14:paraId="2E000000">
            <w:pPr>
              <w:pStyle w:val="Style_2"/>
              <w:numPr>
                <w:ilvl w:val="0"/>
                <w:numId w:val="4"/>
              </w:numPr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Силы гражданской обороны – спасательные воинские формирования федерального органа исполнительной власти, уполном</w:t>
            </w:r>
            <w:r>
              <w:rPr>
                <w:rFonts w:ascii="Times New Roman" w:hAnsi="Times New Roman"/>
                <w:sz w:val="24"/>
              </w:rPr>
              <w:t>оченного на решение задач в области гражданской обороны, подразделения Государственной противопожарной службы, аварийно-спасательные формирования и спасательные службы, нештатные формирования по обеспечению выполнения мероприятий по гражданской обороне, а также создаваемые на военное время в целях решения задач в области гражданской обороны специальные формирования.</w:t>
            </w:r>
          </w:p>
          <w:p w14:paraId="2F000000">
            <w:pPr>
              <w:pStyle w:val="Style_2"/>
              <w:numPr>
                <w:ilvl w:val="0"/>
                <w:numId w:val="4"/>
              </w:numPr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Вооруженные Силы РФ, другие войска и воинские формирования выполняют задачи в области гражданской обороны в соответствии с законодательством РФ. Для решения задач в области гражданской обороны воинские части и подразделения Вооруженных Сил РФ, других войск и воинских формирований привлекаются в порядке, определенном Президентом РФ.</w:t>
            </w:r>
          </w:p>
          <w:p w14:paraId="30000000">
            <w:pPr>
              <w:ind w:firstLine="633" w:left="-66"/>
              <w:rPr>
                <w:rFonts w:ascii="Tempus Sans ITC" w:hAnsi="Tempus Sans ITC"/>
                <w:sz w:val="24"/>
              </w:rPr>
            </w:pPr>
          </w:p>
        </w:tc>
      </w:tr>
    </w:tbl>
    <w:sectPr>
      <w:pgSz w:h="11906" w:orient="landscape" w:w="16838"/>
      <w:pgMar w:bottom="851" w:footer="709" w:gutter="0" w:header="709" w:left="426" w:right="395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2" w:type="paragraph">
    <w:name w:val="List Paragraph"/>
    <w:basedOn w:val="Style_3"/>
    <w:link w:val="Style_2_ch"/>
    <w:pPr>
      <w:ind w:firstLine="0" w:left="720"/>
      <w:contextualSpacing w:val="1"/>
    </w:pPr>
  </w:style>
  <w:style w:styleId="Style_2_ch" w:type="character">
    <w:name w:val="List Paragraph"/>
    <w:basedOn w:val="Style_3_ch"/>
    <w:link w:val="Style_2"/>
  </w:style>
  <w:style w:styleId="Style_9" w:type="paragraph">
    <w:name w:val="toc 3"/>
    <w:next w:val="Style_3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3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3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3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3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3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3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3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3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2022-09-06T09:22:35Z</dcterms:modified>
</cp:coreProperties>
</file>